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İMALAT YÖNTEMLERİ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2. Dönem 1. Sınav 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